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Међународне студије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Простор слободе, безбедности и правде у Европској унији</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Маја Ковачевић, Јелена Пејић</w:t>
            </w:r>
            <w:r w:rsidDel="00000000" w:rsidR="00000000" w:rsidRPr="00000000">
              <w:rPr>
                <w:rFonts w:ascii="Times New Roman" w:cs="Times New Roman" w:eastAsia="Times New Roman" w:hAnsi="Times New Roman"/>
                <w:sz w:val="20"/>
                <w:szCs w:val="20"/>
                <w:rtl w:val="0"/>
              </w:rPr>
              <w:t xml:space="preserve"> Никић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Обавезан (модул Европске студије); Изборни (модул Међународна политика)</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5</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Европска унија се више пута нашла на удару таласа тероризма, организованог криминала, илегалне троговине дрогом, илегалних миграционих таласа. Као одговор, успела да дефинише концепт унутрашње безбедности који је везала за контролу граница, имиграције, криминала, уз очување неопходне равнотеже између захтева који се постављају са слободом кретања, очувања индивидуалних слобода и унутрашње безбедности. У том оквиру успостављени су посебни облици сарадње између различитих безбедносних и правосудних структура земаља чланица на основу заједнички утврђених правила у оквиру тзв. простора слободе, безбедности и правде Европске уније. Циљ предмета је да се студенти упознају са еволуцијом овог брзо растућег сегмента европске интеграције и стекну знања о савременој политици у оквиру простора слободе, безбедности и правде ЕУ, њеним инструментима и органима.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На крају курса студенти треба да познају, разумеју и могу да користе основне категорије везане за правосуђе и унутрашње послове ЕУ и да их користе у анализи савремених политичких проблема везаних за ЕУ и њену улогу у међународним односима; буду способни да идентификују и процењују значај главних проблема и догађаја везаних за ову област; унапреде своје способности и вештине читања и разумевања стручних текстова о овој материји, као и усменог и писменог изражавања и аргументације о овој проблематици.</w:t>
            </w:r>
            <w:r w:rsidDel="00000000" w:rsidR="00000000" w:rsidRPr="00000000">
              <w:rPr>
                <w:rtl w:val="0"/>
              </w:rPr>
            </w:r>
          </w:p>
          <w:p w:rsidR="00000000" w:rsidDel="00000000" w:rsidP="00000000" w:rsidRDefault="00000000" w:rsidRPr="00000000" w14:paraId="00000028">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E">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Институционални развој сарадње у области правосуђа и унутрашњих послова; Развој паралелне интеграције у оквиру Шенгена; Сарадња у области правосуђа и унутрашњих послова по Уговору из Мастрихта; Стварање простора слободе, безбедности правде (Уговор из Амстердама); Лисабонски уговор и промене у Простору слободе, безбедности и правде; Европска сарадња у правосудној области; Полицијска сарадња у ЕУ; Политика у области имиграције, виза и азила; Стратегија унутрашње безбедности, борба против тероризма, борба против организованог криминала; Институционални оквир и заједничко деловање. </w:t>
            </w:r>
            <w:r w:rsidDel="00000000" w:rsidR="00000000" w:rsidRPr="00000000">
              <w:rPr>
                <w:rtl w:val="0"/>
              </w:rPr>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Самосталан рад студената на студијама случаја: Мигрантска криза 2015. године и ЕУ; FRONTEX, Europol, Eurojust</w:t>
            </w: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Fonts w:ascii="Times New Roman" w:cs="Times New Roman" w:eastAsia="Times New Roman" w:hAnsi="Times New Roman"/>
                <w:sz w:val="20"/>
                <w:szCs w:val="20"/>
                <w:vertAlign w:val="baseline"/>
                <w:rtl w:val="0"/>
              </w:rPr>
              <w:t xml:space="preserve"> Канцеларија европског јавног тужилаштва; сарадња Србије са ЕУ у области Простора слободе, безбедности и правде; спољни аспекти унутрашње безбедности ЕУ; борба против тероризма и радикализације у ЕУ.</w:t>
            </w:r>
          </w:p>
          <w:p w:rsidR="00000000" w:rsidDel="00000000" w:rsidP="00000000" w:rsidRDefault="00000000" w:rsidRPr="00000000" w14:paraId="00000032">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Основна</w:t>
            </w:r>
            <w:r w:rsidDel="00000000" w:rsidR="00000000" w:rsidRPr="00000000">
              <w:rPr>
                <w:rtl w:val="0"/>
              </w:rPr>
            </w:r>
          </w:p>
          <w:p w:rsidR="00000000" w:rsidDel="00000000" w:rsidP="00000000" w:rsidRDefault="00000000" w:rsidRPr="00000000" w14:paraId="00000039">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Зоранчо Василков, </w:t>
            </w:r>
            <w:r w:rsidDel="00000000" w:rsidR="00000000" w:rsidRPr="00000000">
              <w:rPr>
                <w:rFonts w:ascii="Times New Roman" w:cs="Times New Roman" w:eastAsia="Times New Roman" w:hAnsi="Times New Roman"/>
                <w:i w:val="1"/>
                <w:sz w:val="20"/>
                <w:szCs w:val="20"/>
                <w:vertAlign w:val="baseline"/>
                <w:rtl w:val="0"/>
              </w:rPr>
              <w:t xml:space="preserve">Област слободе, безбедности и правде у праву Европске уније</w:t>
            </w:r>
            <w:r w:rsidDel="00000000" w:rsidR="00000000" w:rsidRPr="00000000">
              <w:rPr>
                <w:rFonts w:ascii="Times New Roman" w:cs="Times New Roman" w:eastAsia="Times New Roman" w:hAnsi="Times New Roman"/>
                <w:sz w:val="20"/>
                <w:szCs w:val="20"/>
                <w:vertAlign w:val="baseline"/>
                <w:rtl w:val="0"/>
              </w:rPr>
              <w:t xml:space="preserve">, докторска дисертација, Универзитет у Нишу - Правни факултет, 2016, стр. 22-147, 165-279. </w:t>
            </w:r>
          </w:p>
          <w:p w:rsidR="00000000" w:rsidDel="00000000" w:rsidP="00000000" w:rsidRDefault="00000000" w:rsidRPr="00000000" w14:paraId="0000003A">
            <w:pPr>
              <w:tabs>
                <w:tab w:val="left" w:pos="567"/>
              </w:tabs>
              <w:spacing w:after="60" w:lineRule="auto"/>
              <w:rPr>
                <w:rFonts w:ascii="Times New Roman" w:cs="Times New Roman" w:eastAsia="Times New Roman" w:hAnsi="Times New Roman"/>
                <w:color w:val="000000"/>
                <w:sz w:val="20"/>
                <w:szCs w:val="20"/>
                <w:highlight w:val="white"/>
                <w:vertAlign w:val="baseline"/>
              </w:rPr>
            </w:pPr>
            <w:r w:rsidDel="00000000" w:rsidR="00000000" w:rsidRPr="00000000">
              <w:rPr>
                <w:rFonts w:ascii="Times New Roman" w:cs="Times New Roman" w:eastAsia="Times New Roman" w:hAnsi="Times New Roman"/>
                <w:i w:val="0"/>
                <w:sz w:val="20"/>
                <w:szCs w:val="20"/>
                <w:vertAlign w:val="baseline"/>
                <w:rtl w:val="0"/>
              </w:rPr>
              <w:t xml:space="preserve">Маја Ковачевић, „Европски парламент и реформа заједничког европског система азила“,  </w:t>
            </w:r>
            <w:r w:rsidDel="00000000" w:rsidR="00000000" w:rsidRPr="00000000">
              <w:rPr>
                <w:rFonts w:ascii="Times New Roman" w:cs="Times New Roman" w:eastAsia="Times New Roman" w:hAnsi="Times New Roman"/>
                <w:i w:val="1"/>
                <w:sz w:val="20"/>
                <w:szCs w:val="20"/>
                <w:vertAlign w:val="baseline"/>
                <w:rtl w:val="0"/>
              </w:rPr>
              <w:t xml:space="preserve">Годишњак ФПН</w:t>
            </w:r>
            <w:r w:rsidDel="00000000" w:rsidR="00000000" w:rsidRPr="00000000">
              <w:rPr>
                <w:rFonts w:ascii="Times New Roman" w:cs="Times New Roman" w:eastAsia="Times New Roman" w:hAnsi="Times New Roman"/>
                <w:i w:val="0"/>
                <w:sz w:val="20"/>
                <w:szCs w:val="20"/>
                <w:vertAlign w:val="baseline"/>
                <w:rtl w:val="0"/>
              </w:rPr>
              <w:t xml:space="preserve">, година </w:t>
            </w:r>
            <w:r w:rsidDel="00000000" w:rsidR="00000000" w:rsidRPr="00000000">
              <w:rPr>
                <w:rFonts w:ascii="Times New Roman" w:cs="Times New Roman" w:eastAsia="Times New Roman" w:hAnsi="Times New Roman"/>
                <w:color w:val="000000"/>
                <w:sz w:val="20"/>
                <w:szCs w:val="20"/>
                <w:highlight w:val="white"/>
                <w:vertAlign w:val="baseline"/>
                <w:rtl w:val="0"/>
              </w:rPr>
              <w:t xml:space="preserve">XIII</w:t>
            </w:r>
            <w:r w:rsidDel="00000000" w:rsidR="00000000" w:rsidRPr="00000000">
              <w:rPr>
                <w:rFonts w:ascii="Times New Roman" w:cs="Times New Roman" w:eastAsia="Times New Roman" w:hAnsi="Times New Roman"/>
                <w:i w:val="0"/>
                <w:sz w:val="20"/>
                <w:szCs w:val="20"/>
                <w:vertAlign w:val="baseline"/>
                <w:rtl w:val="0"/>
              </w:rPr>
              <w:t xml:space="preserve">, специјалан број, децембар 2019</w:t>
            </w:r>
            <w:r w:rsidDel="00000000" w:rsidR="00000000" w:rsidRPr="00000000">
              <w:rPr>
                <w:rFonts w:ascii="Times New Roman" w:cs="Times New Roman" w:eastAsia="Times New Roman" w:hAnsi="Times New Roman"/>
                <w:color w:val="000000"/>
                <w:sz w:val="20"/>
                <w:szCs w:val="20"/>
                <w:highlight w:val="white"/>
                <w:vertAlign w:val="baseline"/>
                <w:rtl w:val="0"/>
              </w:rPr>
              <w:t xml:space="preserve">, 149-165.</w:t>
            </w:r>
          </w:p>
          <w:p w:rsidR="00000000" w:rsidDel="00000000" w:rsidP="00000000" w:rsidRDefault="00000000" w:rsidRPr="00000000" w14:paraId="0000003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Маја Ковачевић, „Диференцирана интеграција у Простору слободе, безбедности и правде Европске уније: случај Данске“, </w:t>
            </w:r>
            <w:r w:rsidDel="00000000" w:rsidR="00000000" w:rsidRPr="00000000">
              <w:rPr>
                <w:rFonts w:ascii="Times New Roman" w:cs="Times New Roman" w:eastAsia="Times New Roman" w:hAnsi="Times New Roman"/>
                <w:i w:val="1"/>
                <w:sz w:val="20"/>
                <w:szCs w:val="20"/>
                <w:vertAlign w:val="baseline"/>
                <w:rtl w:val="0"/>
              </w:rPr>
              <w:t xml:space="preserve">Годишњак ФПН</w:t>
            </w:r>
            <w:r w:rsidDel="00000000" w:rsidR="00000000" w:rsidRPr="00000000">
              <w:rPr>
                <w:rFonts w:ascii="Times New Roman" w:cs="Times New Roman" w:eastAsia="Times New Roman" w:hAnsi="Times New Roman"/>
                <w:sz w:val="20"/>
                <w:szCs w:val="20"/>
                <w:vertAlign w:val="baseline"/>
                <w:rtl w:val="0"/>
              </w:rPr>
              <w:t xml:space="preserve">, XIV, бр. 24, 2020, стр. 35-54.</w:t>
            </w:r>
          </w:p>
          <w:p w:rsidR="00000000" w:rsidDel="00000000" w:rsidP="00000000" w:rsidRDefault="00000000" w:rsidRPr="00000000" w14:paraId="0000003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Допунска</w:t>
            </w: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Sergio Carrera, Deirdre Curtin and Andrew Geddes (Eds), </w:t>
            </w:r>
            <w:r w:rsidDel="00000000" w:rsidR="00000000" w:rsidRPr="00000000">
              <w:rPr>
                <w:rFonts w:ascii="Times New Roman" w:cs="Times New Roman" w:eastAsia="Times New Roman" w:hAnsi="Times New Roman"/>
                <w:i w:val="1"/>
                <w:sz w:val="20"/>
                <w:szCs w:val="20"/>
                <w:vertAlign w:val="baseline"/>
                <w:rtl w:val="0"/>
              </w:rPr>
              <w:t xml:space="preserve">20 Year Anniversary of the Tampere Programme: Europeanisation Dynamics of the EU Area of Freedom, Security and Justice</w:t>
            </w:r>
            <w:r w:rsidDel="00000000" w:rsidR="00000000" w:rsidRPr="00000000">
              <w:rPr>
                <w:rFonts w:ascii="Times New Roman" w:cs="Times New Roman" w:eastAsia="Times New Roman" w:hAnsi="Times New Roman"/>
                <w:sz w:val="20"/>
                <w:szCs w:val="20"/>
                <w:vertAlign w:val="baseline"/>
                <w:rtl w:val="0"/>
              </w:rPr>
              <w:t xml:space="preserve">, European University Institute, 2020 (стране по потреби за самостални рад студената на студијама случаја)</w:t>
            </w:r>
          </w:p>
          <w:p w:rsidR="00000000" w:rsidDel="00000000" w:rsidP="00000000" w:rsidRDefault="00000000" w:rsidRPr="00000000" w14:paraId="0000003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4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 </w:t>
            </w:r>
            <w:r w:rsidDel="00000000" w:rsidR="00000000" w:rsidRPr="00000000">
              <w:rPr>
                <w:rtl w:val="0"/>
              </w:rPr>
            </w:r>
          </w:p>
        </w:tc>
        <w:tc>
          <w:tcPr>
            <w:gridSpan w:val="2"/>
            <w:vAlign w:val="center"/>
          </w:tcPr>
          <w:p w:rsidR="00000000" w:rsidDel="00000000" w:rsidP="00000000" w:rsidRDefault="00000000" w:rsidRPr="00000000" w14:paraId="0000004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rtl w:val="0"/>
              </w:rPr>
              <w:t xml:space="preserve">30</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9">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самосталан рад студената - студије случаја, дискусије, консултације</w:t>
            </w:r>
          </w:p>
          <w:p w:rsidR="00000000" w:rsidDel="00000000" w:rsidP="00000000" w:rsidRDefault="00000000" w:rsidRPr="00000000" w14:paraId="0000004A">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5">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A">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C">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1">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3">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4">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66">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8">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9">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6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B">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6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6E">
      <w:pPr>
        <w:rPr>
          <w:rFonts w:ascii="Times New Roman" w:cs="Times New Roman" w:eastAsia="Times New Roman" w:hAnsi="Times New Roman"/>
          <w:sz w:val="20"/>
          <w:szCs w:val="20"/>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Rldk7m3AslkLBDMhkBWkdf9kxg==">AMUW2mU1B6jBH5dZWJgfXZlvQHjD+9FXXzIMuKqEn0FN1FSz/qUtOZWdmrx6OMp6PJB0zyTyONsV5CjWRsu4f7IaXkzCOkogO2y3bqdrkIiU2s/jwhv4ZX8=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2021-05-09T09:23:00Z</dcterms:created>
  <dc:creator>ivana.sunderic</dc:creator>
</cp:coreProperties>
</file>